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1FC" w:rsidRPr="005F1424" w:rsidRDefault="00E571CB" w:rsidP="00EE61FC">
      <w:pPr>
        <w:widowControl/>
        <w:shd w:val="clear" w:color="auto" w:fill="FFFFFF"/>
        <w:textAlignment w:val="top"/>
        <w:rPr>
          <w:rFonts w:ascii="Arial" w:eastAsia="新細明體" w:hAnsi="Arial" w:cs="Arial"/>
          <w:b/>
          <w:color w:val="333333"/>
          <w:spacing w:val="12"/>
          <w:kern w:val="0"/>
          <w:sz w:val="28"/>
          <w:szCs w:val="28"/>
        </w:rPr>
      </w:pPr>
      <w:bookmarkStart w:id="0" w:name="_GoBack"/>
      <w:bookmarkEnd w:id="0"/>
      <w:r w:rsidRPr="005F1424">
        <w:rPr>
          <w:rFonts w:ascii="新細明體" w:eastAsia="新細明體" w:hAnsi="新細明體" w:cs="Arial" w:hint="eastAsia"/>
          <w:b/>
          <w:color w:val="333333"/>
          <w:spacing w:val="12"/>
          <w:kern w:val="0"/>
          <w:sz w:val="28"/>
          <w:szCs w:val="28"/>
        </w:rPr>
        <w:t>「</w:t>
      </w:r>
      <w:r w:rsidR="00EE61FC" w:rsidRPr="005F1424">
        <w:rPr>
          <w:rFonts w:ascii="Arial" w:eastAsia="新細明體" w:hAnsi="Arial" w:cs="Arial"/>
          <w:b/>
          <w:color w:val="333333"/>
          <w:spacing w:val="12"/>
          <w:kern w:val="0"/>
          <w:sz w:val="28"/>
          <w:szCs w:val="28"/>
        </w:rPr>
        <w:t>營造業專業工程特定施工項目應置之技術士種類比率或人數標準表</w:t>
      </w:r>
      <w:r w:rsidRPr="005F1424">
        <w:rPr>
          <w:rFonts w:ascii="新細明體" w:eastAsia="新細明體" w:hAnsi="新細明體" w:cs="Arial" w:hint="eastAsia"/>
          <w:b/>
          <w:color w:val="333333"/>
          <w:spacing w:val="12"/>
          <w:kern w:val="0"/>
          <w:sz w:val="28"/>
          <w:szCs w:val="28"/>
        </w:rPr>
        <w:t>」</w:t>
      </w:r>
      <w:r w:rsidRPr="005F1424">
        <w:rPr>
          <w:rFonts w:ascii="Arial" w:eastAsia="新細明體" w:hAnsi="Arial" w:cs="Arial" w:hint="eastAsia"/>
          <w:b/>
          <w:color w:val="333333"/>
          <w:spacing w:val="12"/>
          <w:kern w:val="0"/>
          <w:sz w:val="28"/>
          <w:szCs w:val="28"/>
        </w:rPr>
        <w:t>修正</w:t>
      </w:r>
      <w:r w:rsidR="000C00FF" w:rsidRPr="005F1424">
        <w:rPr>
          <w:rFonts w:ascii="Arial" w:eastAsia="新細明體" w:hAnsi="Arial" w:cs="Arial" w:hint="eastAsia"/>
          <w:b/>
          <w:color w:val="333333"/>
          <w:spacing w:val="12"/>
          <w:kern w:val="0"/>
          <w:sz w:val="28"/>
          <w:szCs w:val="28"/>
        </w:rPr>
        <w:t>建議</w:t>
      </w:r>
      <w:r w:rsidRPr="005F1424">
        <w:rPr>
          <w:rFonts w:ascii="Arial" w:eastAsia="新細明體" w:hAnsi="Arial" w:cs="Arial" w:hint="eastAsia"/>
          <w:b/>
          <w:color w:val="333333"/>
          <w:spacing w:val="12"/>
          <w:kern w:val="0"/>
          <w:sz w:val="28"/>
          <w:szCs w:val="28"/>
        </w:rPr>
        <w:t>調查表</w:t>
      </w:r>
    </w:p>
    <w:p w:rsidR="00EE61FC" w:rsidRPr="005F1424" w:rsidRDefault="00E571CB" w:rsidP="00EE61FC">
      <w:pPr>
        <w:widowControl/>
        <w:shd w:val="clear" w:color="auto" w:fill="FFFFFF"/>
        <w:textAlignment w:val="top"/>
        <w:rPr>
          <w:rFonts w:ascii="Arial" w:eastAsia="新細明體" w:hAnsi="Arial" w:cs="Arial"/>
          <w:b/>
          <w:color w:val="333333"/>
          <w:spacing w:val="12"/>
          <w:kern w:val="0"/>
          <w:szCs w:val="24"/>
        </w:rPr>
      </w:pPr>
      <w:r w:rsidRPr="005F1424">
        <w:rPr>
          <w:rFonts w:ascii="Arial" w:eastAsia="新細明體" w:hAnsi="Arial" w:cs="Arial" w:hint="eastAsia"/>
          <w:b/>
          <w:color w:val="333333"/>
          <w:spacing w:val="12"/>
          <w:kern w:val="0"/>
          <w:szCs w:val="24"/>
        </w:rPr>
        <w:t>填表機構</w:t>
      </w:r>
      <w:r w:rsidRPr="005F1424">
        <w:rPr>
          <w:rFonts w:ascii="新細明體" w:eastAsia="新細明體" w:hAnsi="新細明體" w:cs="Arial" w:hint="eastAsia"/>
          <w:b/>
          <w:color w:val="333333"/>
          <w:spacing w:val="12"/>
          <w:kern w:val="0"/>
          <w:szCs w:val="24"/>
        </w:rPr>
        <w:t>：</w:t>
      </w:r>
      <w:r w:rsidR="005F1424">
        <w:rPr>
          <w:rFonts w:ascii="Arial" w:eastAsia="新細明體" w:hAnsi="Arial" w:cs="Arial" w:hint="eastAsia"/>
          <w:b/>
          <w:color w:val="333333"/>
          <w:spacing w:val="12"/>
          <w:kern w:val="0"/>
          <w:szCs w:val="24"/>
        </w:rPr>
        <w:t xml:space="preserve">                                                                 </w:t>
      </w:r>
      <w:r w:rsidR="005F1424">
        <w:rPr>
          <w:rFonts w:ascii="Arial" w:eastAsia="新細明體" w:hAnsi="Arial" w:cs="Arial" w:hint="eastAsia"/>
          <w:b/>
          <w:color w:val="333333"/>
          <w:spacing w:val="12"/>
          <w:kern w:val="0"/>
          <w:szCs w:val="24"/>
        </w:rPr>
        <w:t>填表日期</w:t>
      </w:r>
      <w:r w:rsidR="005F1424">
        <w:rPr>
          <w:rFonts w:ascii="新細明體" w:eastAsia="新細明體" w:hAnsi="新細明體" w:cs="Arial" w:hint="eastAsia"/>
          <w:b/>
          <w:color w:val="333333"/>
          <w:spacing w:val="12"/>
          <w:kern w:val="0"/>
          <w:szCs w:val="24"/>
        </w:rPr>
        <w:t>：</w:t>
      </w:r>
      <w:r w:rsidR="005F1424">
        <w:rPr>
          <w:rFonts w:ascii="Arial" w:eastAsia="新細明體" w:hAnsi="Arial" w:cs="Arial" w:hint="eastAsia"/>
          <w:b/>
          <w:color w:val="333333"/>
          <w:spacing w:val="12"/>
          <w:kern w:val="0"/>
          <w:szCs w:val="24"/>
        </w:rPr>
        <w:t>107</w:t>
      </w:r>
      <w:r w:rsidR="005F1424">
        <w:rPr>
          <w:rFonts w:ascii="Arial" w:eastAsia="新細明體" w:hAnsi="Arial" w:cs="Arial" w:hint="eastAsia"/>
          <w:b/>
          <w:color w:val="333333"/>
          <w:spacing w:val="12"/>
          <w:kern w:val="0"/>
          <w:szCs w:val="24"/>
        </w:rPr>
        <w:t>年</w:t>
      </w:r>
      <w:r w:rsidR="005F1424">
        <w:rPr>
          <w:rFonts w:ascii="Arial" w:eastAsia="新細明體" w:hAnsi="Arial" w:cs="Arial" w:hint="eastAsia"/>
          <w:b/>
          <w:color w:val="333333"/>
          <w:spacing w:val="12"/>
          <w:kern w:val="0"/>
          <w:szCs w:val="24"/>
        </w:rPr>
        <w:t xml:space="preserve">  </w:t>
      </w:r>
      <w:r w:rsidR="005F1424">
        <w:rPr>
          <w:rFonts w:ascii="Arial" w:eastAsia="新細明體" w:hAnsi="Arial" w:cs="Arial" w:hint="eastAsia"/>
          <w:b/>
          <w:color w:val="333333"/>
          <w:spacing w:val="12"/>
          <w:kern w:val="0"/>
          <w:szCs w:val="24"/>
        </w:rPr>
        <w:t>月</w:t>
      </w:r>
      <w:r w:rsidR="005F1424">
        <w:rPr>
          <w:rFonts w:ascii="Arial" w:eastAsia="新細明體" w:hAnsi="Arial" w:cs="Arial" w:hint="eastAsia"/>
          <w:b/>
          <w:color w:val="333333"/>
          <w:spacing w:val="12"/>
          <w:kern w:val="0"/>
          <w:szCs w:val="24"/>
        </w:rPr>
        <w:t xml:space="preserve">  </w:t>
      </w:r>
      <w:r w:rsidR="005F1424">
        <w:rPr>
          <w:rFonts w:ascii="Arial" w:eastAsia="新細明體" w:hAnsi="Arial" w:cs="Arial" w:hint="eastAsia"/>
          <w:b/>
          <w:color w:val="333333"/>
          <w:spacing w:val="12"/>
          <w:kern w:val="0"/>
          <w:szCs w:val="24"/>
        </w:rPr>
        <w:t>日</w:t>
      </w:r>
      <w:r w:rsidR="00EE61FC" w:rsidRPr="005F1424">
        <w:rPr>
          <w:rFonts w:ascii="Arial" w:eastAsia="新細明體" w:hAnsi="Arial" w:cs="Arial"/>
          <w:b/>
          <w:color w:val="333333"/>
          <w:spacing w:val="12"/>
          <w:kern w:val="0"/>
          <w:szCs w:val="24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810"/>
        <w:gridCol w:w="1489"/>
        <w:gridCol w:w="2766"/>
        <w:gridCol w:w="3301"/>
        <w:gridCol w:w="3299"/>
      </w:tblGrid>
      <w:tr w:rsidR="00EE61FC" w:rsidRPr="00EE61FC" w:rsidTr="00057469">
        <w:trPr>
          <w:tblHeader/>
        </w:trPr>
        <w:tc>
          <w:tcPr>
            <w:tcW w:w="38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1FC" w:rsidRPr="00EE61FC" w:rsidRDefault="00EE61FC" w:rsidP="000574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333333"/>
                <w:spacing w:val="12"/>
                <w:kern w:val="0"/>
                <w:sz w:val="19"/>
                <w:szCs w:val="19"/>
              </w:rPr>
              <w:t>現行規定</w:t>
            </w:r>
          </w:p>
        </w:tc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E61FC" w:rsidRPr="00EE61FC" w:rsidRDefault="00EE61FC" w:rsidP="000574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Arial" w:eastAsia="新細明體" w:hAnsi="Arial" w:cs="Arial" w:hint="eastAsia"/>
                <w:color w:val="333333"/>
                <w:spacing w:val="12"/>
                <w:kern w:val="0"/>
                <w:sz w:val="19"/>
                <w:szCs w:val="19"/>
              </w:rPr>
              <w:t>修正建議</w:t>
            </w:r>
            <w:r w:rsidR="00E571CB">
              <w:rPr>
                <w:rFonts w:ascii="Arial" w:eastAsia="新細明體" w:hAnsi="Arial" w:cs="Arial" w:hint="eastAsia"/>
                <w:color w:val="333333"/>
                <w:spacing w:val="12"/>
                <w:kern w:val="0"/>
                <w:sz w:val="19"/>
                <w:szCs w:val="19"/>
              </w:rPr>
              <w:t>(</w:t>
            </w:r>
            <w:r w:rsidR="00E571CB">
              <w:rPr>
                <w:rFonts w:ascii="Arial" w:eastAsia="新細明體" w:hAnsi="Arial" w:cs="Arial" w:hint="eastAsia"/>
                <w:color w:val="333333"/>
                <w:spacing w:val="12"/>
                <w:kern w:val="0"/>
                <w:sz w:val="19"/>
                <w:szCs w:val="19"/>
              </w:rPr>
              <w:t>請勾選</w:t>
            </w:r>
            <w:r w:rsidR="00E571CB">
              <w:rPr>
                <w:rFonts w:ascii="新細明體" w:eastAsia="新細明體" w:hAnsi="新細明體" w:cs="Arial" w:hint="eastAsia"/>
                <w:color w:val="333333"/>
                <w:spacing w:val="12"/>
                <w:kern w:val="0"/>
                <w:sz w:val="19"/>
                <w:szCs w:val="19"/>
              </w:rPr>
              <w:t>，</w:t>
            </w:r>
            <w:r w:rsidR="00E571CB">
              <w:rPr>
                <w:rFonts w:ascii="Arial" w:eastAsia="新細明體" w:hAnsi="Arial" w:cs="Arial" w:hint="eastAsia"/>
                <w:color w:val="333333"/>
                <w:spacing w:val="12"/>
                <w:kern w:val="0"/>
                <w:sz w:val="19"/>
                <w:szCs w:val="19"/>
              </w:rPr>
              <w:t>並表示意見</w:t>
            </w:r>
            <w:r w:rsidR="00E571CB">
              <w:rPr>
                <w:rFonts w:ascii="Arial" w:eastAsia="新細明體" w:hAnsi="Arial" w:cs="Arial" w:hint="eastAsia"/>
                <w:color w:val="333333"/>
                <w:spacing w:val="12"/>
                <w:kern w:val="0"/>
                <w:sz w:val="19"/>
                <w:szCs w:val="19"/>
              </w:rPr>
              <w:t>)</w:t>
            </w:r>
          </w:p>
        </w:tc>
      </w:tr>
      <w:tr w:rsidR="00EE61FC" w:rsidRPr="00EE61FC" w:rsidTr="00057469">
        <w:trPr>
          <w:tblHeader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0574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專業工程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0574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特定施工項目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0574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技術士種類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0574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特定施工項目規模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0574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設置人數標準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1FC" w:rsidRPr="00EE61FC" w:rsidRDefault="00EE61FC" w:rsidP="00057469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EE61FC" w:rsidRPr="00EE61FC" w:rsidTr="001E222A">
        <w:trPr>
          <w:trHeight w:val="1080"/>
        </w:trPr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鋼構工程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鋼構構件吊裝及組裝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Default="00EE61FC" w:rsidP="00EE61F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一、一般手工電</w:t>
            </w:r>
            <w:proofErr w:type="gramStart"/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銲</w:t>
            </w:r>
            <w:proofErr w:type="gramEnd"/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二、半自動電銲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三、氬氣鎢極電銲</w:t>
            </w:r>
          </w:p>
          <w:p w:rsidR="00EE61FC" w:rsidRPr="00EE61FC" w:rsidRDefault="00EE61FC" w:rsidP="00EE61F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四、測量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五、建築塗裝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九十九年金額為新臺幣一千五百萬元以上者（不含構件材料費）。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應於工地設置任一職類技術士一人以上。</w:t>
            </w:r>
          </w:p>
        </w:tc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72EE" w:rsidRPr="000C72EE" w:rsidRDefault="000C72EE" w:rsidP="000C72E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技術士是否供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給不足</w:t>
            </w: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？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</w:t>
            </w:r>
            <w:r w:rsidR="00057469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，技術士名稱：</w:t>
            </w:r>
            <w:r w:rsidR="00057469"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□否</w:t>
            </w:r>
          </w:p>
          <w:p w:rsidR="000C72EE" w:rsidRDefault="000C72EE" w:rsidP="000C72EE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現行</w:t>
            </w:r>
            <w:r w:rsidR="00E571CB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規定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(包含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技術士種類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特定施工項目規模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設置人數標準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)</w:t>
            </w:r>
            <w:r w:rsidR="00E571CB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是否有修正必要？</w:t>
            </w:r>
            <w:r w:rsidR="00E571CB"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="00E571CB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</w:t>
            </w:r>
            <w:r w:rsidR="00E571CB"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="00E571CB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</w:t>
            </w:r>
            <w:proofErr w:type="gramStart"/>
            <w:r w:rsidR="00E571CB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否</w:t>
            </w:r>
            <w:proofErr w:type="gramEnd"/>
          </w:p>
          <w:p w:rsidR="00EE61FC" w:rsidRPr="00E571CB" w:rsidRDefault="00E571CB" w:rsidP="00213F9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25" w:before="9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571CB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修正內容建議：</w:t>
            </w:r>
          </w:p>
          <w:p w:rsidR="00270AC0" w:rsidRDefault="00270AC0" w:rsidP="00270AC0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1.</w:t>
            </w:r>
          </w:p>
          <w:p w:rsidR="00E571CB" w:rsidRDefault="00E571CB" w:rsidP="00270AC0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2.</w:t>
            </w:r>
          </w:p>
          <w:p w:rsidR="00E571CB" w:rsidRPr="00EE61FC" w:rsidRDefault="00E571CB" w:rsidP="00270AC0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3.</w:t>
            </w:r>
          </w:p>
        </w:tc>
      </w:tr>
      <w:tr w:rsidR="00EE61FC" w:rsidRPr="00EE61FC" w:rsidTr="00651581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一百年金額為新臺幣一千萬元以上者（不含構件材料費）。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EE61FC" w:rsidRPr="00EE61FC" w:rsidTr="00651581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一百零一年金額超過新臺幣五百萬元以上，一千萬元以下者（不含構件材料費）。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EE61FC" w:rsidRPr="00EE61FC" w:rsidTr="00651581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一百零一年金額超過新臺幣一千萬元以上，二千五百萬元以下者（不含構件材料費）。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應於工地設置任一職類技術士二人以上。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EE61FC" w:rsidRPr="00EE61FC" w:rsidTr="00651581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1FC" w:rsidRPr="00EE61FC" w:rsidRDefault="00EE61FC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一百零一年金額超過新臺幣二千五百萬元者（不含構件材料費）。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應於工地設置任一職類技術士二人以上，其金額超過新臺幣二千</w:t>
            </w: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lastRenderedPageBreak/>
              <w:t>五百萬元部分，每一千五百萬元應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增置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任一職類技術士一人以上。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1FC" w:rsidRPr="00EE61FC" w:rsidRDefault="00EE61FC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057469" w:rsidRPr="00EE61FC" w:rsidTr="00B82B69">
        <w:trPr>
          <w:trHeight w:val="935"/>
        </w:trPr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基礎工程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一、擋土牆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二、土質改良及灌漿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三、</w:t>
            </w:r>
            <w:proofErr w:type="gramStart"/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錨樁工程</w:t>
            </w:r>
            <w:proofErr w:type="gramEnd"/>
          </w:p>
          <w:p w:rsidR="00057469" w:rsidRPr="00EE61FC" w:rsidRDefault="00057469" w:rsidP="00EE61F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 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一、鋼筋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二、模板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三、測量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四、混凝土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九十九年金額為新臺幣六千萬元以上者。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應於工地設置任一職類技術士一人以上。</w:t>
            </w:r>
          </w:p>
        </w:tc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AD155E" w:rsidRDefault="00057469" w:rsidP="00AD155E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技術士是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否</w:t>
            </w: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供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給不足</w:t>
            </w: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？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□是，技術士名稱：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□否</w:t>
            </w:r>
          </w:p>
          <w:p w:rsidR="00057469" w:rsidRDefault="00057469" w:rsidP="00AD155E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現行規定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(包含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技術士種類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特定施工項目規模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設置人數標準</w:t>
            </w:r>
            <w:r w:rsidR="004A325D">
              <w:rPr>
                <w:rFonts w:ascii="Arial" w:eastAsia="新細明體" w:hAnsi="Arial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)</w:t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是否有修正必要？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</w:t>
            </w:r>
            <w:proofErr w:type="gramStart"/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否</w:t>
            </w:r>
            <w:proofErr w:type="gramEnd"/>
          </w:p>
          <w:p w:rsidR="00057469" w:rsidRPr="00E571CB" w:rsidRDefault="00AD155E" w:rsidP="00AD155E">
            <w:pPr>
              <w:pStyle w:val="a3"/>
              <w:widowControl/>
              <w:adjustRightInd w:val="0"/>
              <w:snapToGrid w:val="0"/>
              <w:spacing w:beforeLines="25" w:before="90" w:after="100" w:afterAutospacing="1" w:line="240" w:lineRule="atLeast"/>
              <w:ind w:leftChars="0" w:left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三、</w:t>
            </w:r>
            <w:r w:rsidR="00057469" w:rsidRPr="00E571CB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修正內容建議：</w:t>
            </w:r>
          </w:p>
          <w:p w:rsidR="00057469" w:rsidRDefault="00057469" w:rsidP="00057469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1.</w:t>
            </w:r>
          </w:p>
          <w:p w:rsidR="00AD155E" w:rsidRDefault="00057469" w:rsidP="00057469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2</w:t>
            </w:r>
          </w:p>
          <w:p w:rsidR="00057469" w:rsidRPr="00EE61FC" w:rsidRDefault="00AD155E" w:rsidP="00AD155E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3</w:t>
            </w:r>
            <w:r w:rsidR="00057469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.</w:t>
            </w:r>
          </w:p>
        </w:tc>
      </w:tr>
      <w:tr w:rsidR="00057469" w:rsidRPr="00EE61FC" w:rsidTr="00B82B69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一百年金額為新臺幣五千萬元以上者。</w:t>
            </w:r>
            <w:r w:rsidR="00AD155E">
              <w:rPr>
                <w:rFonts w:ascii="Arial" w:eastAsia="新細明體" w:hAnsi="Arial" w:cs="Arial" w:hint="eastAsia"/>
                <w:color w:val="333333"/>
                <w:spacing w:val="12"/>
                <w:kern w:val="0"/>
                <w:sz w:val="19"/>
                <w:szCs w:val="19"/>
              </w:rPr>
              <w:t>0.82</w:t>
            </w:r>
            <w:r>
              <w:rPr>
                <w:rFonts w:ascii="Arial" w:eastAsia="新細明體" w:hAnsi="Arial" w:cs="Arial" w:hint="eastAsia"/>
                <w:color w:val="333333"/>
                <w:spacing w:val="12"/>
                <w:kern w:val="0"/>
                <w:sz w:val="19"/>
                <w:szCs w:val="19"/>
              </w:rPr>
              <w:t>公分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057469" w:rsidRPr="00EE61FC" w:rsidTr="00B82B69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一百零一年金額超過額新臺幣三千五百萬元以上，五千萬元以下者。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057469" w:rsidRPr="00EE61FC" w:rsidTr="00B82B69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一百零一年金額超過新臺幣五千萬元，八千五百萬元以下者。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應於工地設置任一職類技術士二人以上。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057469" w:rsidRPr="00EE61FC" w:rsidTr="00B82B69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469" w:rsidRPr="00EE61FC" w:rsidRDefault="00057469" w:rsidP="00EE61FC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一百零一年金額超過新臺幣八千五百萬元者。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應於工地設置任一職類技術士二人以上，其金額超過新臺幣八千五百萬元部分，每三千五百萬元應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增置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任一職類技術士一人以上。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469" w:rsidRPr="00EE61FC" w:rsidRDefault="00057469" w:rsidP="00EE61F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AD155E" w:rsidRPr="00EE61FC" w:rsidTr="002971EB"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lastRenderedPageBreak/>
              <w:t>施工</w:t>
            </w:r>
            <w:proofErr w:type="gramStart"/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塔架吊</w:t>
            </w:r>
            <w:proofErr w:type="gramEnd"/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裝及模版工程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結構體模板工程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模板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九十九年金額為新臺幣五千萬元以上者。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應於工地設置該職類技術士一人以上。</w:t>
            </w:r>
          </w:p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 </w:t>
            </w:r>
          </w:p>
        </w:tc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D155E" w:rsidRDefault="00AD155E" w:rsidP="00AD155E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技術士是否供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給不足</w:t>
            </w: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？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</w:t>
            </w:r>
            <w:proofErr w:type="gramStart"/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否</w:t>
            </w:r>
            <w:proofErr w:type="gramEnd"/>
          </w:p>
          <w:p w:rsidR="00AD155E" w:rsidRDefault="00AD155E" w:rsidP="00AD155E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現行規定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(包含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技術士種類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特定施工項目規模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設置人數標準</w:t>
            </w:r>
            <w:r w:rsidR="004A325D">
              <w:rPr>
                <w:rFonts w:ascii="Arial" w:eastAsia="新細明體" w:hAnsi="Arial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)</w:t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是否有修正必要？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</w:t>
            </w:r>
            <w:proofErr w:type="gramStart"/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否</w:t>
            </w:r>
            <w:proofErr w:type="gramEnd"/>
          </w:p>
          <w:p w:rsidR="00AD155E" w:rsidRPr="00E571CB" w:rsidRDefault="00AD155E" w:rsidP="00AD155E">
            <w:pPr>
              <w:pStyle w:val="a3"/>
              <w:widowControl/>
              <w:adjustRightInd w:val="0"/>
              <w:snapToGrid w:val="0"/>
              <w:spacing w:beforeLines="25" w:before="90" w:after="100" w:afterAutospacing="1" w:line="240" w:lineRule="atLeast"/>
              <w:ind w:leftChars="0" w:left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三、</w:t>
            </w:r>
            <w:r w:rsidRPr="00E571CB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修正內容建議：</w:t>
            </w:r>
          </w:p>
          <w:p w:rsidR="00AD155E" w:rsidRDefault="00AD155E" w:rsidP="00AD155E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1.</w:t>
            </w:r>
          </w:p>
          <w:p w:rsidR="00AD155E" w:rsidRDefault="00AD155E" w:rsidP="00AD155E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2</w:t>
            </w:r>
          </w:p>
          <w:p w:rsidR="00AD155E" w:rsidRPr="00EE61FC" w:rsidRDefault="00AD155E" w:rsidP="00AD155E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3.</w:t>
            </w:r>
          </w:p>
        </w:tc>
      </w:tr>
      <w:tr w:rsidR="00AD155E" w:rsidRPr="00EE61FC" w:rsidTr="002971EB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一百年金額為新臺幣四千萬元以上者。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應於工地設置該職類技術士一人以上。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AD155E" w:rsidRPr="00EE61FC" w:rsidTr="002971EB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一百零一年金額超過新臺幣三千萬元以上，四千萬元以下者。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應於工地設置該職類技術士一人以上。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AD155E" w:rsidRPr="00EE61FC" w:rsidTr="002971EB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一百零一年金額超過新臺幣四千萬元以上，七千萬元以下者。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應於工地設置該職類技術士二人以上。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AD155E" w:rsidRPr="00EE61FC" w:rsidTr="002971EB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一百零一年金額超過新臺幣七千萬元者。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應於工地設置任一職類技術士二人以上，其金額超過新臺幣七千萬元部分，每三千萬元應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增置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任一職類技術士一人以上。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AD155E" w:rsidRPr="00EE61FC" w:rsidTr="00D20125"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lastRenderedPageBreak/>
              <w:t>庭園、景觀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 xml:space="preserve"> 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工程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一、造園景觀施工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二、植生綠化及養護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一、造園景觀（造園施工）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二、園藝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九十九年至一百年金額為新臺幣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三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百萬元以上者。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應於工地設置任一職類技術士一人以上。</w:t>
            </w:r>
          </w:p>
        </w:tc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F7871" w:rsidRDefault="00AD155E" w:rsidP="00CF7871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技術士是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否</w:t>
            </w: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供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給不足</w:t>
            </w: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？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□是，技術士名稱：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□否</w:t>
            </w:r>
          </w:p>
          <w:p w:rsidR="00AD155E" w:rsidRDefault="00AD155E" w:rsidP="00CF7871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現行規定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(包含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技術士種類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特定施工項目規模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設置人數標準</w:t>
            </w:r>
            <w:r w:rsidR="004A325D">
              <w:rPr>
                <w:rFonts w:ascii="Arial" w:eastAsia="新細明體" w:hAnsi="Arial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)</w:t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是否有修正必要？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</w:t>
            </w:r>
            <w:proofErr w:type="gramStart"/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否</w:t>
            </w:r>
            <w:proofErr w:type="gramEnd"/>
          </w:p>
          <w:p w:rsidR="00AD155E" w:rsidRPr="00E571CB" w:rsidRDefault="00CF7871" w:rsidP="00CF7871">
            <w:pPr>
              <w:pStyle w:val="a3"/>
              <w:widowControl/>
              <w:adjustRightInd w:val="0"/>
              <w:snapToGrid w:val="0"/>
              <w:spacing w:beforeLines="25" w:before="90" w:after="100" w:afterAutospacing="1" w:line="240" w:lineRule="atLeast"/>
              <w:ind w:leftChars="0" w:left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三、</w:t>
            </w:r>
            <w:r w:rsidR="00AD155E" w:rsidRPr="00E571CB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修正內容建議：</w:t>
            </w:r>
          </w:p>
          <w:p w:rsidR="00AD155E" w:rsidRDefault="00AD155E" w:rsidP="00AD155E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1.</w:t>
            </w:r>
          </w:p>
          <w:p w:rsidR="00AD155E" w:rsidRDefault="00AD155E" w:rsidP="00AD155E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2.</w:t>
            </w:r>
          </w:p>
          <w:p w:rsidR="00AD155E" w:rsidRPr="00EE61FC" w:rsidRDefault="00AD155E" w:rsidP="00AD155E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3.</w:t>
            </w:r>
          </w:p>
        </w:tc>
      </w:tr>
      <w:tr w:rsidR="00AD155E" w:rsidRPr="00EE61FC" w:rsidTr="00D20125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一百零一年金額為新臺幣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百萬元以上者。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AD155E" w:rsidRPr="00EE61FC" w:rsidTr="00D20125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55E" w:rsidRPr="00EE61FC" w:rsidRDefault="00AD155E" w:rsidP="00AD155E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一百零一年金額為新臺幣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三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百萬元以上者。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應於工地設置任一職類技術士二人以上。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55E" w:rsidRPr="00EE61FC" w:rsidRDefault="00AD155E" w:rsidP="00AD155E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CF7871" w:rsidRPr="00EE61FC" w:rsidTr="00DA287B"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防水工程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營建防水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營建防水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九十九年至一百年金額為新臺幣五百萬元以上者。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應於工地設置該職類具有各該項技術士一人以上。</w:t>
            </w:r>
          </w:p>
        </w:tc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F7871" w:rsidRDefault="00CF7871" w:rsidP="00CF7871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技術士是否供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給不足</w:t>
            </w: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？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</w:t>
            </w:r>
            <w:proofErr w:type="gramStart"/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否</w:t>
            </w:r>
            <w:proofErr w:type="gramEnd"/>
          </w:p>
          <w:p w:rsidR="00CF7871" w:rsidRDefault="00CF7871" w:rsidP="00CF7871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現行規定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(包含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技術士種類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特定施工項目規模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設置人數標準</w:t>
            </w:r>
            <w:r w:rsidR="004A325D">
              <w:rPr>
                <w:rFonts w:ascii="Arial" w:eastAsia="新細明體" w:hAnsi="Arial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)</w:t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是否有修正必要？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</w:t>
            </w:r>
            <w:proofErr w:type="gramStart"/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否</w:t>
            </w:r>
            <w:proofErr w:type="gramEnd"/>
          </w:p>
          <w:p w:rsidR="00CF7871" w:rsidRPr="00E571CB" w:rsidRDefault="00CF7871" w:rsidP="00CF7871">
            <w:pPr>
              <w:pStyle w:val="a3"/>
              <w:widowControl/>
              <w:adjustRightInd w:val="0"/>
              <w:snapToGrid w:val="0"/>
              <w:spacing w:beforeLines="25" w:before="90" w:after="100" w:afterAutospacing="1" w:line="240" w:lineRule="atLeast"/>
              <w:ind w:leftChars="0" w:left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三、</w:t>
            </w:r>
            <w:r w:rsidRPr="00E571CB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修正內容建議：</w:t>
            </w:r>
          </w:p>
          <w:p w:rsidR="00CF7871" w:rsidRDefault="00CF7871" w:rsidP="00CF7871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1.</w:t>
            </w:r>
          </w:p>
          <w:p w:rsidR="00CF7871" w:rsidRPr="004A325D" w:rsidRDefault="00CF7871" w:rsidP="00CF7871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2.</w:t>
            </w:r>
          </w:p>
        </w:tc>
      </w:tr>
      <w:tr w:rsidR="00CF7871" w:rsidRPr="00EE61FC" w:rsidTr="00DA287B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一百零一年金額為新臺幣二百萬元以上者。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應於工地設置該職類具有各該項技術士一人以上。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CF7871" w:rsidRPr="00EE61FC" w:rsidTr="00DA287B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一百零一年金額為新臺幣五百萬元以上者。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應於工地設置該職類具有各該項技術士二人以上。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CF7871" w:rsidRPr="00EE61FC" w:rsidTr="00453BE7">
        <w:tc>
          <w:tcPr>
            <w:tcW w:w="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lastRenderedPageBreak/>
              <w:t>預拌混凝土工程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預拌混凝土澆置工程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混凝土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九十九年至一百年金額為新臺幣五百萬元以上者（不含材料費）。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應於工地設置該職類技術士一人以上。</w:t>
            </w:r>
          </w:p>
        </w:tc>
        <w:tc>
          <w:tcPr>
            <w:tcW w:w="11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F7871" w:rsidRDefault="00CF7871" w:rsidP="00CF7871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技術士是否供</w:t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給不足</w:t>
            </w:r>
            <w:r w:rsidRPr="000C72EE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？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</w:t>
            </w:r>
            <w:proofErr w:type="gramStart"/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否</w:t>
            </w:r>
            <w:proofErr w:type="gramEnd"/>
          </w:p>
          <w:p w:rsidR="00CF7871" w:rsidRDefault="00CF7871" w:rsidP="00CF7871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before="100" w:beforeAutospacing="1" w:after="100" w:afterAutospacing="1" w:line="240" w:lineRule="atLeast"/>
              <w:ind w:leftChars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現行規定</w:t>
            </w:r>
            <w:r w:rsidR="004A325D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(包含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技術士種類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特定施工項目規模</w:t>
            </w:r>
            <w:r w:rsidR="004A325D" w:rsidRPr="004A325D">
              <w:rPr>
                <w:rFonts w:ascii="新細明體" w:eastAsia="新細明體" w:hAnsi="新細明體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、</w:t>
            </w:r>
            <w:r w:rsidR="004A325D" w:rsidRPr="00EE61FC">
              <w:rPr>
                <w:rFonts w:ascii="Arial" w:eastAsia="新細明體" w:hAnsi="Arial" w:cs="Arial"/>
                <w:b/>
                <w:color w:val="333333"/>
                <w:spacing w:val="12"/>
                <w:kern w:val="0"/>
                <w:sz w:val="19"/>
                <w:szCs w:val="19"/>
              </w:rPr>
              <w:t>設置人數標準</w:t>
            </w:r>
            <w:r w:rsidR="004A325D">
              <w:rPr>
                <w:rFonts w:ascii="Arial" w:eastAsia="新細明體" w:hAnsi="Arial" w:cs="Arial" w:hint="eastAsia"/>
                <w:b/>
                <w:color w:val="333333"/>
                <w:spacing w:val="12"/>
                <w:kern w:val="0"/>
                <w:sz w:val="19"/>
                <w:szCs w:val="19"/>
              </w:rPr>
              <w:t>)</w:t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是否有修正必要？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□是</w:t>
            </w:r>
            <w:r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□</w:t>
            </w:r>
            <w:proofErr w:type="gramStart"/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否</w:t>
            </w:r>
            <w:proofErr w:type="gramEnd"/>
          </w:p>
          <w:p w:rsidR="00CF7871" w:rsidRPr="00E571CB" w:rsidRDefault="00CF7871" w:rsidP="00CF7871">
            <w:pPr>
              <w:pStyle w:val="a3"/>
              <w:widowControl/>
              <w:adjustRightInd w:val="0"/>
              <w:snapToGrid w:val="0"/>
              <w:spacing w:beforeLines="25" w:before="90" w:after="100" w:afterAutospacing="1" w:line="240" w:lineRule="atLeast"/>
              <w:ind w:leftChars="0" w:left="0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三、</w:t>
            </w:r>
            <w:r w:rsidRPr="00E571CB"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修正內容建議：</w:t>
            </w:r>
          </w:p>
          <w:p w:rsidR="00CF7871" w:rsidRDefault="00CF7871" w:rsidP="00CF7871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1.</w:t>
            </w:r>
          </w:p>
          <w:p w:rsidR="00CF7871" w:rsidRDefault="00CF7871" w:rsidP="00CF7871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新細明體" w:eastAsia="新細明體" w:hAnsi="新細明體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2.</w:t>
            </w:r>
          </w:p>
          <w:p w:rsidR="00CF7871" w:rsidRPr="00EE61FC" w:rsidRDefault="00CF7871" w:rsidP="00CF7871">
            <w:pPr>
              <w:widowControl/>
              <w:adjustRightInd w:val="0"/>
              <w:snapToGrid w:val="0"/>
              <w:spacing w:beforeLines="25" w:before="90" w:line="240" w:lineRule="atLeast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>
              <w:rPr>
                <w:rFonts w:ascii="新細明體" w:eastAsia="新細明體" w:hAnsi="新細明體" w:cs="Arial" w:hint="eastAsia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3.</w:t>
            </w:r>
          </w:p>
        </w:tc>
      </w:tr>
      <w:tr w:rsidR="00CF7871" w:rsidRPr="00EE61FC" w:rsidTr="00453BE7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一百零一年金額超過新臺幣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三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百萬元以上，五百萬元以下者（不含材料費）。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應於工地設置該職類技術士一人以上。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CF7871" w:rsidRPr="00EE61FC" w:rsidTr="00453BE7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一百零一年金額超過新臺幣五百萬元以上，八百萬元以下者（不含材料費）。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應於工地設置該職類技術士二人以上。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CF7871" w:rsidRPr="00EE61FC" w:rsidTr="00453BE7">
        <w:tc>
          <w:tcPr>
            <w:tcW w:w="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871" w:rsidRPr="00EE61FC" w:rsidRDefault="00CF7871" w:rsidP="00CF7871">
            <w:pPr>
              <w:widowControl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一百零一年金額超過新臺幣八百萬元以上者（不含材料費）。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該專業工程特定施工項目施工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期間，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除應於工地設置任一職類技術士二人以上，其金額超過新臺幣八百萬元部分，每三百萬元應</w:t>
            </w:r>
            <w:proofErr w:type="gramStart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增置</w:t>
            </w:r>
            <w:proofErr w:type="gramEnd"/>
            <w:r w:rsidRPr="00EE61FC"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  <w:t>任一職類技術士一人以上。</w:t>
            </w:r>
          </w:p>
        </w:tc>
        <w:tc>
          <w:tcPr>
            <w:tcW w:w="11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  <w:tr w:rsidR="00CF7871" w:rsidRPr="00EE61FC" w:rsidTr="00EE61FC">
        <w:tc>
          <w:tcPr>
            <w:tcW w:w="38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備註：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一、專業工程特定施工項目之施工日誌應記載事項如下：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（一）當日施工之各項專業工程特定施工項目內容。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（二）各特定施工項目僱用技術士姓名、技術士證書字號及該技術士之簽名或蓋章。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二、技術士人數供需失衡時，由中央主管機關召集相關公（工）、協會協商調整工程規模及設置人數標準。</w:t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br/>
            </w:r>
            <w:r w:rsidRPr="00EE61FC"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  <w:t>三、本標準適用範圍包含公、私有專業工程之特定施工項目。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871" w:rsidRPr="00EE61FC" w:rsidRDefault="00CF7871" w:rsidP="00CF7871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b/>
                <w:bCs/>
                <w:color w:val="333333"/>
                <w:spacing w:val="12"/>
                <w:kern w:val="0"/>
                <w:sz w:val="19"/>
                <w:szCs w:val="19"/>
              </w:rPr>
            </w:pPr>
          </w:p>
        </w:tc>
      </w:tr>
    </w:tbl>
    <w:p w:rsidR="00BE2820" w:rsidRPr="00EE61FC" w:rsidRDefault="00BE2820"/>
    <w:sectPr w:rsidR="00BE2820" w:rsidRPr="00EE61FC" w:rsidSect="00EE61F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6C5" w:rsidRDefault="009356C5" w:rsidP="005F1424">
      <w:r>
        <w:separator/>
      </w:r>
    </w:p>
  </w:endnote>
  <w:endnote w:type="continuationSeparator" w:id="0">
    <w:p w:rsidR="009356C5" w:rsidRDefault="009356C5" w:rsidP="005F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6C5" w:rsidRDefault="009356C5" w:rsidP="005F1424">
      <w:r>
        <w:separator/>
      </w:r>
    </w:p>
  </w:footnote>
  <w:footnote w:type="continuationSeparator" w:id="0">
    <w:p w:rsidR="009356C5" w:rsidRDefault="009356C5" w:rsidP="005F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548"/>
    <w:multiLevelType w:val="hybridMultilevel"/>
    <w:tmpl w:val="46DE3C92"/>
    <w:lvl w:ilvl="0" w:tplc="4C8CF002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CE5333"/>
    <w:multiLevelType w:val="hybridMultilevel"/>
    <w:tmpl w:val="25CECCBE"/>
    <w:lvl w:ilvl="0" w:tplc="B4FA659C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A3243E"/>
    <w:multiLevelType w:val="hybridMultilevel"/>
    <w:tmpl w:val="32B82D72"/>
    <w:lvl w:ilvl="0" w:tplc="3DA2D1C6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7915C1"/>
    <w:multiLevelType w:val="hybridMultilevel"/>
    <w:tmpl w:val="37983344"/>
    <w:lvl w:ilvl="0" w:tplc="B4FA659C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1F09EC"/>
    <w:multiLevelType w:val="hybridMultilevel"/>
    <w:tmpl w:val="C658D0AA"/>
    <w:lvl w:ilvl="0" w:tplc="AAD2C1F8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75520A"/>
    <w:multiLevelType w:val="hybridMultilevel"/>
    <w:tmpl w:val="DCE6E418"/>
    <w:lvl w:ilvl="0" w:tplc="45DC9BF2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FC"/>
    <w:rsid w:val="00057469"/>
    <w:rsid w:val="000C00FF"/>
    <w:rsid w:val="000C72EE"/>
    <w:rsid w:val="00270AC0"/>
    <w:rsid w:val="003C70D3"/>
    <w:rsid w:val="004A325D"/>
    <w:rsid w:val="005F1424"/>
    <w:rsid w:val="005F3CD6"/>
    <w:rsid w:val="00856942"/>
    <w:rsid w:val="009356C5"/>
    <w:rsid w:val="00AD155E"/>
    <w:rsid w:val="00BE2820"/>
    <w:rsid w:val="00CF7871"/>
    <w:rsid w:val="00E571CB"/>
    <w:rsid w:val="00EE61FC"/>
    <w:rsid w:val="00E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31E27-C654-4D89-BA07-34276D3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E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1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4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4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5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872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03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66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9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63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77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66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許志堅</dc:creator>
  <cp:keywords/>
  <dc:description/>
  <cp:lastModifiedBy>Mei</cp:lastModifiedBy>
  <cp:revision>2</cp:revision>
  <cp:lastPrinted>2018-06-21T08:44:00Z</cp:lastPrinted>
  <dcterms:created xsi:type="dcterms:W3CDTF">2018-06-26T08:41:00Z</dcterms:created>
  <dcterms:modified xsi:type="dcterms:W3CDTF">2018-06-26T08:41:00Z</dcterms:modified>
</cp:coreProperties>
</file>